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98" w:rsidRPr="00215698" w:rsidRDefault="007D6A49" w:rsidP="00215698">
      <w:pPr>
        <w:jc w:val="right"/>
        <w:rPr>
          <w:rFonts w:ascii="Sylfaen" w:hAnsi="Sylfaen"/>
          <w:i/>
          <w:sz w:val="20"/>
          <w:szCs w:val="20"/>
          <w:lang w:val="ka-GE"/>
        </w:rPr>
      </w:pPr>
      <w:bookmarkStart w:id="0" w:name="_GoBack"/>
      <w:bookmarkEnd w:id="0"/>
      <w:r w:rsidRPr="00215698">
        <w:rPr>
          <w:rFonts w:ascii="Sylfaen" w:hAnsi="Sylfaen"/>
          <w:i/>
          <w:sz w:val="20"/>
          <w:szCs w:val="20"/>
          <w:lang w:val="ka-GE"/>
        </w:rPr>
        <w:t>დანართი #1</w:t>
      </w:r>
    </w:p>
    <w:p w:rsidR="00215698" w:rsidRPr="00215698" w:rsidRDefault="00215698" w:rsidP="00215698">
      <w:pPr>
        <w:rPr>
          <w:rFonts w:ascii="Sylfaen" w:hAnsi="Sylfaen"/>
          <w:sz w:val="20"/>
          <w:szCs w:val="20"/>
          <w:lang w:val="ru-RU"/>
        </w:rPr>
      </w:pPr>
      <w:r w:rsidRPr="00215698">
        <w:rPr>
          <w:rFonts w:ascii="Sylfaen" w:hAnsi="Sylfaen"/>
          <w:sz w:val="20"/>
          <w:szCs w:val="20"/>
          <w:lang w:val="ka-GE"/>
        </w:rPr>
        <w:t xml:space="preserve">                                            ელექტროშემდუღებელი</w:t>
      </w:r>
    </w:p>
    <w:p w:rsidR="00215698" w:rsidRPr="00215698" w:rsidRDefault="00215698" w:rsidP="00215698">
      <w:pPr>
        <w:rPr>
          <w:rFonts w:ascii="Sylfaen" w:hAnsi="Sylfaen"/>
          <w:sz w:val="20"/>
          <w:szCs w:val="20"/>
          <w:lang w:val="ka-GE"/>
        </w:rPr>
      </w:pPr>
      <w:r w:rsidRPr="00215698">
        <w:rPr>
          <w:rFonts w:ascii="Sylfaen" w:hAnsi="Sylfaen"/>
          <w:sz w:val="20"/>
          <w:szCs w:val="20"/>
          <w:lang w:val="ka-GE"/>
        </w:rPr>
        <w:t>საკვალიფიკაციო მოთხოვნები:</w:t>
      </w:r>
    </w:p>
    <w:tbl>
      <w:tblPr>
        <w:tblpPr w:leftFromText="180" w:rightFromText="180" w:vertAnchor="text" w:horzAnchor="page" w:tblpX="1513" w:tblpY="2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161"/>
        <w:gridCol w:w="6205"/>
      </w:tblGrid>
      <w:tr w:rsidR="00215698" w:rsidRPr="00215698" w:rsidTr="00215698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8" w:rsidRPr="00215698" w:rsidRDefault="00215698" w:rsidP="00215698">
            <w:pPr>
              <w:numPr>
                <w:ilvl w:val="0"/>
                <w:numId w:val="1"/>
              </w:numPr>
              <w:spacing w:after="0" w:afterAutospacing="0"/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განათლება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/>
                <w:color w:val="000000"/>
                <w:sz w:val="20"/>
                <w:szCs w:val="20"/>
              </w:rPr>
              <w:t>საშუალო</w:t>
            </w:r>
          </w:p>
        </w:tc>
      </w:tr>
      <w:tr w:rsidR="00215698" w:rsidRPr="00215698" w:rsidTr="00215698">
        <w:trPr>
          <w:trHeight w:val="44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2156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</w:t>
            </w:r>
            <w:r w:rsidRPr="00215698">
              <w:rPr>
                <w:rFonts w:ascii="AcadNusx" w:hAnsi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გამოცდილება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98" w:rsidRPr="00215698" w:rsidRDefault="00215698">
            <w:pPr>
              <w:jc w:val="both"/>
              <w:rPr>
                <w:rFonts w:ascii="Sylfaen" w:hAnsi="Sylfaen" w:cs="Sylfaen"/>
                <w:color w:val="FF0000"/>
                <w:sz w:val="20"/>
                <w:szCs w:val="20"/>
              </w:rPr>
            </w:pPr>
          </w:p>
        </w:tc>
      </w:tr>
      <w:tr w:rsidR="00215698" w:rsidRPr="00215698" w:rsidTr="00215698">
        <w:trPr>
          <w:trHeight w:val="64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3.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AcadNusx" w:hAnsi="AcadNusx"/>
                <w:color w:val="000000"/>
                <w:sz w:val="20"/>
                <w:szCs w:val="20"/>
                <w:lang w:val="ru-RU"/>
              </w:rPr>
            </w:pP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აუცილებელი</w:t>
            </w:r>
            <w:r w:rsidRPr="00215698"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უნარ</w:t>
            </w:r>
            <w:r w:rsidRPr="00215698">
              <w:rPr>
                <w:rFonts w:ascii="AcadNusx" w:hAnsi="AcadNusx" w:cs="AcadNusx"/>
                <w:color w:val="000000"/>
                <w:sz w:val="20"/>
                <w:szCs w:val="20"/>
              </w:rPr>
              <w:t>-</w:t>
            </w: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ჩვევები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98" w:rsidRPr="00215698" w:rsidRDefault="00215698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დაკვირვებულობა</w:t>
            </w:r>
            <w:r w:rsidRPr="00215698">
              <w:rPr>
                <w:rFonts w:ascii="Sylfaen" w:hAnsi="Sylfaen" w:cs="AcadNusx"/>
                <w:color w:val="000000"/>
                <w:sz w:val="20"/>
                <w:szCs w:val="20"/>
              </w:rPr>
              <w:t>,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კომპეტენტურობა</w:t>
            </w:r>
          </w:p>
        </w:tc>
      </w:tr>
      <w:tr w:rsidR="00215698" w:rsidRPr="00215698" w:rsidTr="00215698">
        <w:trPr>
          <w:trHeight w:val="9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</w:t>
            </w:r>
          </w:p>
          <w:p w:rsidR="00215698" w:rsidRPr="00215698" w:rsidRDefault="00215698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AcadNusx" w:hAnsi="AcadNusx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აუცილებელი</w:t>
            </w:r>
            <w:r w:rsidRPr="00215698">
              <w:rPr>
                <w:rFonts w:ascii="AcadNusx" w:hAnsi="AcadNusx"/>
                <w:color w:val="000000"/>
                <w:sz w:val="20"/>
                <w:szCs w:val="20"/>
              </w:rPr>
              <w:t xml:space="preserve"> </w:t>
            </w:r>
            <w:r w:rsidRPr="00215698">
              <w:rPr>
                <w:rFonts w:ascii="Sylfaen" w:hAnsi="Sylfaen" w:cs="Sylfaen"/>
                <w:color w:val="000000"/>
                <w:sz w:val="20"/>
                <w:szCs w:val="20"/>
              </w:rPr>
              <w:t>ცოდნა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98" w:rsidRPr="00215698" w:rsidRDefault="00215698">
            <w:pPr>
              <w:jc w:val="both"/>
              <w:rPr>
                <w:rFonts w:ascii="AcadNusx" w:hAnsi="AcadNusx" w:cs="Arial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პირადი უსაფრთხოების,  პირველადი სამედიცინო დახმარების, ცეცხლმქრობი საშუალებების გამოყენების წესები. შედუღების მეთოდების ცოდნა</w:t>
            </w:r>
          </w:p>
          <w:p w:rsidR="00215698" w:rsidRPr="00215698" w:rsidRDefault="00215698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ელექტრორშემდუღებლის მოწმობა</w:t>
            </w:r>
          </w:p>
        </w:tc>
      </w:tr>
      <w:tr w:rsidR="00215698" w:rsidRPr="00215698" w:rsidTr="00215698">
        <w:trPr>
          <w:trHeight w:val="9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98" w:rsidRPr="00215698" w:rsidRDefault="00215698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ელექტროშემდუღებლის მოწმობა</w:t>
            </w:r>
          </w:p>
        </w:tc>
      </w:tr>
    </w:tbl>
    <w:p w:rsidR="00215698" w:rsidRPr="00215698" w:rsidRDefault="00215698" w:rsidP="00215698">
      <w:pPr>
        <w:rPr>
          <w:rFonts w:ascii="Sylfaen" w:hAnsi="Sylfaen"/>
          <w:sz w:val="20"/>
          <w:szCs w:val="20"/>
          <w:lang w:val="ka-GE" w:eastAsia="ru-RU"/>
        </w:rPr>
      </w:pPr>
    </w:p>
    <w:p w:rsidR="00215698" w:rsidRPr="00215698" w:rsidRDefault="00215698" w:rsidP="00215698">
      <w:pPr>
        <w:rPr>
          <w:rFonts w:ascii="Sylfaen" w:hAnsi="Sylfae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665"/>
      </w:tblGrid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jc w:val="center"/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Sylfaen"/>
                <w:i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8" w:rsidRPr="00215698" w:rsidRDefault="00215698" w:rsidP="00215698">
            <w:pPr>
              <w:numPr>
                <w:ilvl w:val="0"/>
                <w:numId w:val="2"/>
              </w:numPr>
              <w:spacing w:after="0" w:afterAutospacing="0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უზრუნველყოს  ელექტროშე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დუღებელი დანადგარების გამართულობა და სწორი ექსპლუატაცია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  <w:r w:rsidRPr="00215698"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698" w:rsidRPr="00215698" w:rsidRDefault="00215698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სამუშაოს დაწყების წინ  ელექტროშედუღების აპარატის ელექტრო გაყვანილობის და ელექტრო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ხელსაწყოების გამართულობის შემოწმება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  <w:r w:rsidRPr="00215698"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98" w:rsidRPr="00215698" w:rsidRDefault="00215698" w:rsidP="00215698">
            <w:pPr>
              <w:ind w:left="630" w:hanging="630"/>
              <w:jc w:val="both"/>
              <w:rPr>
                <w:rFonts w:ascii="AcadNusx" w:hAnsi="AcadNusx" w:cs="Arial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სამუშაო ადგილის დასუფთავება  და ნარჩენების დროული  გატანა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</w:pPr>
            <w:r w:rsidRPr="00215698">
              <w:rPr>
                <w:rFonts w:ascii="AcadNusx" w:hAnsi="AcadNusx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ელექტროშე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</w:t>
            </w:r>
            <w:r w:rsidRPr="00215698">
              <w:rPr>
                <w:rFonts w:ascii="Sylfaen" w:hAnsi="Sylfaen" w:cs="Arial"/>
                <w:color w:val="000000"/>
                <w:sz w:val="20"/>
                <w:szCs w:val="20"/>
              </w:rPr>
              <w:t>დუღებელი დანადგარების  სწორი ექსპლუატაცია და სათანადო ადგილზე  შენახვა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5.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698" w:rsidRPr="00215698" w:rsidRDefault="00215698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Arial"/>
                <w:sz w:val="20"/>
                <w:szCs w:val="20"/>
              </w:rPr>
              <w:t>შედუღების პროცესის წარმოებისას ინსტრუქციების და ტექნოლოგიური პროცესის დაცვა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6.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 w:cs="Sylfaen"/>
                <w:sz w:val="20"/>
                <w:szCs w:val="20"/>
              </w:rPr>
              <w:t>შრომითი</w:t>
            </w:r>
            <w:r w:rsidRPr="002156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5698">
              <w:rPr>
                <w:rFonts w:ascii="Sylfaen" w:hAnsi="Sylfaen" w:cs="Sylfaen"/>
                <w:sz w:val="20"/>
                <w:szCs w:val="20"/>
              </w:rPr>
              <w:t>დისციპლინ</w:t>
            </w:r>
            <w:r w:rsidRPr="00215698">
              <w:rPr>
                <w:rFonts w:ascii="Sylfaen" w:hAnsi="Sylfaen" w:cs="AcadNusx"/>
                <w:sz w:val="20"/>
                <w:szCs w:val="20"/>
              </w:rPr>
              <w:t xml:space="preserve">ისა </w:t>
            </w:r>
            <w:r w:rsidRPr="00215698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215698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Pr="00215698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r w:rsidRPr="00215698">
              <w:rPr>
                <w:rFonts w:ascii="Sylfaen" w:hAnsi="Sylfaen" w:cs="AcadNusx"/>
                <w:sz w:val="20"/>
                <w:szCs w:val="20"/>
              </w:rPr>
              <w:t>ს დაცვ</w:t>
            </w:r>
            <w:r w:rsidRPr="00215698">
              <w:rPr>
                <w:rFonts w:ascii="Sylfaen" w:hAnsi="Sylfaen" w:cs="Arial"/>
                <w:sz w:val="20"/>
                <w:szCs w:val="20"/>
              </w:rPr>
              <w:t>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7.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698" w:rsidRPr="00215698" w:rsidRDefault="00215698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Arial"/>
                <w:sz w:val="20"/>
                <w:szCs w:val="20"/>
              </w:rPr>
              <w:t>შრომის დაცვის, უსაფრთხოების ტექნიკისა და ხანძარსაწინააღმდეგო წესების დაცვის მოთხოვნების შესრულება</w:t>
            </w:r>
          </w:p>
        </w:tc>
      </w:tr>
      <w:tr w:rsidR="00215698" w:rsidRPr="00215698" w:rsidTr="00215698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98" w:rsidRPr="00215698" w:rsidRDefault="00215698">
            <w:pPr>
              <w:ind w:left="360"/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215698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>8.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98" w:rsidRPr="00215698" w:rsidRDefault="00215698" w:rsidP="00215698">
            <w:pPr>
              <w:ind w:left="-42" w:hanging="450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215698">
              <w:rPr>
                <w:rFonts w:ascii="Sylfaen" w:hAnsi="Sylfaen" w:cs="Arial CYR"/>
                <w:color w:val="000000"/>
                <w:sz w:val="20"/>
                <w:szCs w:val="20"/>
                <w:lang w:val="ka-GE"/>
              </w:rPr>
              <w:t xml:space="preserve">           მოვალეა, </w:t>
            </w:r>
            <w:r w:rsidRPr="00215698">
              <w:rPr>
                <w:rFonts w:ascii="Sylfaen" w:hAnsi="Sylfaen" w:cs="Arial CYR"/>
                <w:color w:val="000000"/>
                <w:sz w:val="20"/>
                <w:szCs w:val="20"/>
                <w:lang w:val="pt-BR"/>
              </w:rPr>
              <w:t>წარმოების ინტერესებიდან გამომდინარე</w:t>
            </w:r>
            <w:r w:rsidRPr="00215698">
              <w:rPr>
                <w:rFonts w:ascii="Sylfaen" w:hAnsi="Sylfaen" w:cs="Arial CYR"/>
                <w:color w:val="000000"/>
                <w:sz w:val="20"/>
                <w:szCs w:val="20"/>
                <w:lang w:val="ka-GE"/>
              </w:rPr>
              <w:t>,</w:t>
            </w:r>
            <w:r w:rsidRPr="00215698">
              <w:rPr>
                <w:rFonts w:ascii="Sylfaen" w:hAnsi="Sylfaen" w:cs="Arial CYR"/>
                <w:color w:val="000000"/>
                <w:sz w:val="20"/>
                <w:szCs w:val="20"/>
                <w:lang w:val="pt-BR"/>
              </w:rPr>
              <w:t xml:space="preserve"> გამონაკლის შემთხვევებში (ავარიების, ,,ფანჯრების" და სხვა ოპერატიულად შესასრულებელი სამუშაოების დროს)</w:t>
            </w:r>
            <w:r w:rsidRPr="00215698">
              <w:rPr>
                <w:rFonts w:ascii="Sylfaen" w:hAnsi="Sylfaen" w:cs="Arial CYR"/>
                <w:color w:val="000000"/>
                <w:sz w:val="20"/>
                <w:szCs w:val="20"/>
                <w:lang w:val="ka-GE"/>
              </w:rPr>
              <w:t>,</w:t>
            </w:r>
            <w:r w:rsidRPr="00215698">
              <w:rPr>
                <w:rFonts w:ascii="Sylfaen" w:hAnsi="Sylfaen" w:cs="Arial CYR"/>
                <w:color w:val="000000"/>
                <w:sz w:val="20"/>
                <w:szCs w:val="20"/>
                <w:lang w:val="pt-BR"/>
              </w:rPr>
              <w:t xml:space="preserve"> შეასრულოს ზემდგომი ხელმძღვანელის მიერ გაცემული სიტყვიერი ან წერილობითი ბრძანება, მითითება და დავალება, რომელიც უშუალოდ არ შედის მის ძირითად მოვალეობაში.</w:t>
            </w:r>
          </w:p>
        </w:tc>
      </w:tr>
    </w:tbl>
    <w:p w:rsidR="00215698" w:rsidRDefault="00215698" w:rsidP="00215698">
      <w:pPr>
        <w:rPr>
          <w:rFonts w:ascii="Sylfaen" w:hAnsi="Sylfaen"/>
          <w:sz w:val="20"/>
          <w:szCs w:val="20"/>
          <w:lang w:val="ka-GE"/>
        </w:rPr>
      </w:pPr>
    </w:p>
    <w:p w:rsidR="00215698" w:rsidRPr="00215698" w:rsidRDefault="00215698" w:rsidP="00215698">
      <w:pPr>
        <w:rPr>
          <w:rFonts w:ascii="Sylfaen" w:hAnsi="Sylfaen" w:cs="Sylfaen"/>
          <w:color w:val="000000"/>
          <w:sz w:val="20"/>
          <w:szCs w:val="20"/>
        </w:rPr>
      </w:pPr>
      <w:r w:rsidRPr="00215698">
        <w:rPr>
          <w:rFonts w:ascii="Sylfaen" w:hAnsi="Sylfaen"/>
          <w:sz w:val="20"/>
          <w:szCs w:val="20"/>
          <w:lang w:val="ka-GE"/>
        </w:rPr>
        <w:t>სამუშაო რეჟიმი:</w:t>
      </w:r>
      <w:r w:rsidRPr="00215698">
        <w:rPr>
          <w:rFonts w:ascii="Sylfaen" w:hAnsi="Sylfaen"/>
          <w:sz w:val="20"/>
          <w:szCs w:val="20"/>
          <w:lang w:val="ka-GE"/>
        </w:rPr>
        <w:tab/>
        <w:t xml:space="preserve"> </w:t>
      </w:r>
      <w:r w:rsidRPr="00215698">
        <w:rPr>
          <w:rFonts w:ascii="Sylfaen" w:hAnsi="Sylfaen" w:cs="Sylfaen"/>
          <w:color w:val="000000"/>
          <w:sz w:val="20"/>
          <w:szCs w:val="20"/>
          <w:lang w:val="ka-GE"/>
        </w:rPr>
        <w:t xml:space="preserve">ყოველდღიური.  </w:t>
      </w:r>
    </w:p>
    <w:p w:rsidR="00D549DE" w:rsidRPr="00215698" w:rsidRDefault="00D549DE" w:rsidP="00215698">
      <w:pPr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sectPr w:rsidR="00D549DE" w:rsidRPr="002156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66" w:rsidRDefault="00E02F66" w:rsidP="006E2BB4">
      <w:pPr>
        <w:spacing w:after="0"/>
      </w:pPr>
      <w:r>
        <w:separator/>
      </w:r>
    </w:p>
  </w:endnote>
  <w:endnote w:type="continuationSeparator" w:id="0">
    <w:p w:rsidR="00E02F66" w:rsidRDefault="00E02F66" w:rsidP="006E2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66" w:rsidRDefault="00E02F66" w:rsidP="006E2BB4">
      <w:pPr>
        <w:spacing w:after="0"/>
      </w:pPr>
      <w:r>
        <w:separator/>
      </w:r>
    </w:p>
  </w:footnote>
  <w:footnote w:type="continuationSeparator" w:id="0">
    <w:p w:rsidR="00E02F66" w:rsidRDefault="00E02F66" w:rsidP="006E2B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D3"/>
    <w:multiLevelType w:val="hybridMultilevel"/>
    <w:tmpl w:val="7BEC9EBC"/>
    <w:lvl w:ilvl="0" w:tplc="A3C66E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C83BE1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57519"/>
    <w:multiLevelType w:val="hybridMultilevel"/>
    <w:tmpl w:val="0B1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2858"/>
    <w:multiLevelType w:val="multilevel"/>
    <w:tmpl w:val="C980D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4A3A"/>
    <w:multiLevelType w:val="hybridMultilevel"/>
    <w:tmpl w:val="2A4A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B1B93"/>
    <w:multiLevelType w:val="hybridMultilevel"/>
    <w:tmpl w:val="053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4C82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E0C3E"/>
    <w:multiLevelType w:val="hybridMultilevel"/>
    <w:tmpl w:val="B77C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003214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4533C"/>
    <w:multiLevelType w:val="hybridMultilevel"/>
    <w:tmpl w:val="C904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5E"/>
    <w:rsid w:val="00000B99"/>
    <w:rsid w:val="000065DD"/>
    <w:rsid w:val="000149F4"/>
    <w:rsid w:val="000403EE"/>
    <w:rsid w:val="00041B0C"/>
    <w:rsid w:val="0007103F"/>
    <w:rsid w:val="001D6B90"/>
    <w:rsid w:val="001F63E0"/>
    <w:rsid w:val="00215698"/>
    <w:rsid w:val="00236FA2"/>
    <w:rsid w:val="00281458"/>
    <w:rsid w:val="002B59BB"/>
    <w:rsid w:val="002C4281"/>
    <w:rsid w:val="00301743"/>
    <w:rsid w:val="00307CE5"/>
    <w:rsid w:val="00323957"/>
    <w:rsid w:val="0034225E"/>
    <w:rsid w:val="00365C16"/>
    <w:rsid w:val="00391027"/>
    <w:rsid w:val="00396E1E"/>
    <w:rsid w:val="003D7BEC"/>
    <w:rsid w:val="004160E7"/>
    <w:rsid w:val="0043125E"/>
    <w:rsid w:val="004318C6"/>
    <w:rsid w:val="00441588"/>
    <w:rsid w:val="004511ED"/>
    <w:rsid w:val="004513D4"/>
    <w:rsid w:val="00456719"/>
    <w:rsid w:val="0046269D"/>
    <w:rsid w:val="004C1434"/>
    <w:rsid w:val="004E069E"/>
    <w:rsid w:val="00522409"/>
    <w:rsid w:val="0052709C"/>
    <w:rsid w:val="005373BB"/>
    <w:rsid w:val="00545459"/>
    <w:rsid w:val="00572A4F"/>
    <w:rsid w:val="0058140F"/>
    <w:rsid w:val="005A208F"/>
    <w:rsid w:val="005C0CA8"/>
    <w:rsid w:val="005C3A04"/>
    <w:rsid w:val="00635BEA"/>
    <w:rsid w:val="006403A4"/>
    <w:rsid w:val="00651B15"/>
    <w:rsid w:val="00665992"/>
    <w:rsid w:val="00677E69"/>
    <w:rsid w:val="006B29ED"/>
    <w:rsid w:val="006C16A4"/>
    <w:rsid w:val="006E2BB4"/>
    <w:rsid w:val="006E574A"/>
    <w:rsid w:val="00724025"/>
    <w:rsid w:val="00773D6A"/>
    <w:rsid w:val="00785CC4"/>
    <w:rsid w:val="00795C21"/>
    <w:rsid w:val="007D6A49"/>
    <w:rsid w:val="00846B6C"/>
    <w:rsid w:val="00857F47"/>
    <w:rsid w:val="00892AE1"/>
    <w:rsid w:val="008C7DDC"/>
    <w:rsid w:val="008F2FBE"/>
    <w:rsid w:val="008F690B"/>
    <w:rsid w:val="008F7BBF"/>
    <w:rsid w:val="00932007"/>
    <w:rsid w:val="009437E6"/>
    <w:rsid w:val="009450EF"/>
    <w:rsid w:val="009543DA"/>
    <w:rsid w:val="00957F48"/>
    <w:rsid w:val="00964D95"/>
    <w:rsid w:val="0099277F"/>
    <w:rsid w:val="009A20B8"/>
    <w:rsid w:val="009D0C73"/>
    <w:rsid w:val="009D5084"/>
    <w:rsid w:val="00A004D7"/>
    <w:rsid w:val="00A071CC"/>
    <w:rsid w:val="00A1222D"/>
    <w:rsid w:val="00AB05C4"/>
    <w:rsid w:val="00AB12F6"/>
    <w:rsid w:val="00AD7A4A"/>
    <w:rsid w:val="00AF61BF"/>
    <w:rsid w:val="00B06D7D"/>
    <w:rsid w:val="00B3396C"/>
    <w:rsid w:val="00B37631"/>
    <w:rsid w:val="00B67A29"/>
    <w:rsid w:val="00BA3E7F"/>
    <w:rsid w:val="00BA5932"/>
    <w:rsid w:val="00BA660F"/>
    <w:rsid w:val="00BB4E27"/>
    <w:rsid w:val="00BC2E23"/>
    <w:rsid w:val="00BC40A1"/>
    <w:rsid w:val="00C07945"/>
    <w:rsid w:val="00C45AC9"/>
    <w:rsid w:val="00C47B50"/>
    <w:rsid w:val="00C47D8C"/>
    <w:rsid w:val="00C510D5"/>
    <w:rsid w:val="00C63698"/>
    <w:rsid w:val="00C81ED4"/>
    <w:rsid w:val="00C94626"/>
    <w:rsid w:val="00CE31DE"/>
    <w:rsid w:val="00D10B90"/>
    <w:rsid w:val="00D2034E"/>
    <w:rsid w:val="00D246DB"/>
    <w:rsid w:val="00D30E3F"/>
    <w:rsid w:val="00D33991"/>
    <w:rsid w:val="00D46434"/>
    <w:rsid w:val="00D51D68"/>
    <w:rsid w:val="00D549DE"/>
    <w:rsid w:val="00D62491"/>
    <w:rsid w:val="00DA4375"/>
    <w:rsid w:val="00DD1C09"/>
    <w:rsid w:val="00DE3E66"/>
    <w:rsid w:val="00DF4F18"/>
    <w:rsid w:val="00E02F66"/>
    <w:rsid w:val="00E23101"/>
    <w:rsid w:val="00E44C59"/>
    <w:rsid w:val="00E73D1A"/>
    <w:rsid w:val="00E85B82"/>
    <w:rsid w:val="00E96214"/>
    <w:rsid w:val="00EC21EC"/>
    <w:rsid w:val="00EC3B82"/>
    <w:rsid w:val="00F045CC"/>
    <w:rsid w:val="00F15DD2"/>
    <w:rsid w:val="00F35F59"/>
    <w:rsid w:val="00F41D08"/>
    <w:rsid w:val="00F9263D"/>
    <w:rsid w:val="00FB611F"/>
    <w:rsid w:val="00FE456A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24025"/>
  </w:style>
  <w:style w:type="paragraph" w:styleId="ListParagraph">
    <w:name w:val="List Paragraph"/>
    <w:basedOn w:val="Normal"/>
    <w:uiPriority w:val="34"/>
    <w:qFormat/>
    <w:rsid w:val="00FF44F4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uiPriority w:val="20"/>
    <w:qFormat/>
    <w:rsid w:val="00AD7A4A"/>
    <w:rPr>
      <w:b/>
      <w:bCs/>
      <w:i w:val="0"/>
      <w:iCs w:val="0"/>
    </w:rPr>
  </w:style>
  <w:style w:type="character" w:customStyle="1" w:styleId="st1">
    <w:name w:val="st1"/>
    <w:basedOn w:val="DefaultParagraphFont"/>
    <w:rsid w:val="00AD7A4A"/>
  </w:style>
  <w:style w:type="paragraph" w:styleId="EndnoteText">
    <w:name w:val="endnote text"/>
    <w:basedOn w:val="Normal"/>
    <w:link w:val="EndnoteTextChar"/>
    <w:uiPriority w:val="99"/>
    <w:semiHidden/>
    <w:unhideWhenUsed/>
    <w:rsid w:val="006E2BB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BB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2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DA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24025"/>
  </w:style>
  <w:style w:type="paragraph" w:styleId="ListParagraph">
    <w:name w:val="List Paragraph"/>
    <w:basedOn w:val="Normal"/>
    <w:uiPriority w:val="34"/>
    <w:qFormat/>
    <w:rsid w:val="00FF44F4"/>
    <w:pPr>
      <w:spacing w:after="200" w:afterAutospacing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uiPriority w:val="20"/>
    <w:qFormat/>
    <w:rsid w:val="00AD7A4A"/>
    <w:rPr>
      <w:b/>
      <w:bCs/>
      <w:i w:val="0"/>
      <w:iCs w:val="0"/>
    </w:rPr>
  </w:style>
  <w:style w:type="character" w:customStyle="1" w:styleId="st1">
    <w:name w:val="st1"/>
    <w:basedOn w:val="DefaultParagraphFont"/>
    <w:rsid w:val="00AD7A4A"/>
  </w:style>
  <w:style w:type="paragraph" w:styleId="EndnoteText">
    <w:name w:val="endnote text"/>
    <w:basedOn w:val="Normal"/>
    <w:link w:val="EndnoteTextChar"/>
    <w:uiPriority w:val="99"/>
    <w:semiHidden/>
    <w:unhideWhenUsed/>
    <w:rsid w:val="006E2BB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BB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2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4B56-AABC-411C-8259-994DCAE7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Godabrelidze</dc:creator>
  <cp:lastModifiedBy>Marika Godabrelidze</cp:lastModifiedBy>
  <cp:revision>2</cp:revision>
  <dcterms:created xsi:type="dcterms:W3CDTF">2019-09-11T07:18:00Z</dcterms:created>
  <dcterms:modified xsi:type="dcterms:W3CDTF">2019-09-11T07:18:00Z</dcterms:modified>
</cp:coreProperties>
</file>