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CB" w:rsidRDefault="00A73DCB" w:rsidP="00A73DCB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ხოპერ-დოზატორის მემანქანის(ბრიგადირი)</w:t>
      </w:r>
    </w:p>
    <w:p w:rsidR="00A73DCB" w:rsidRDefault="00A73DCB" w:rsidP="00A73DCB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A73DCB" w:rsidRDefault="00A73DCB" w:rsidP="00A73DCB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A73DCB" w:rsidTr="00A73D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73DCB" w:rsidRDefault="00A73DCB">
            <w:pPr>
              <w:spacing w:line="256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საშუალო</w:t>
            </w:r>
          </w:p>
        </w:tc>
      </w:tr>
      <w:tr w:rsidR="00A73DCB" w:rsidTr="00A73D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73DCB" w:rsidRDefault="00A73DCB">
            <w:pPr>
              <w:spacing w:line="256" w:lineRule="auto"/>
              <w:jc w:val="both"/>
              <w:rPr>
                <w:rFonts w:ascii="Sylfaen" w:hAnsi="Sylfaen" w:cs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რკინიგზაზე მუშაობის მინიმუმ 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 წლიანი გამოცდილება ტექნიკური მიმართულებით</w:t>
            </w:r>
          </w:p>
        </w:tc>
      </w:tr>
      <w:tr w:rsidR="00A73DCB" w:rsidTr="00A73DCB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>სისწრაფე, დაკვირვებულობა, კომუნიკაბელურობა, დროის ეფექტური გამოყენება, ფორსმაჟორულ სიტუაციებში სწორი გადაწყვეტილების მიღება</w:t>
            </w:r>
          </w:p>
        </w:tc>
      </w:tr>
      <w:tr w:rsidR="00A73DCB" w:rsidTr="00A73D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>თავისი მოვალეობის ფარგლებში</w:t>
            </w:r>
            <w:r>
              <w:rPr>
                <w:rFonts w:ascii="AcadNusx" w:hAnsi="AcadNusx"/>
                <w:color w:val="000000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>ტექნიკური ექსპლუატაციის წესები,</w:t>
            </w:r>
            <w:r>
              <w:rPr>
                <w:rFonts w:ascii="AcadNusx" w:hAnsi="AcadNusx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it-IT"/>
              </w:rPr>
              <w:t>მატარებელთა მოძრაობისა და სამანევრო მუშაობის ინსტრუქცია,</w:t>
            </w:r>
            <w:r>
              <w:rPr>
                <w:rFonts w:ascii="AcadNusx" w:hAnsi="AcadNusx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სიგნალიზაციის ინსტრუქცია</w:t>
            </w:r>
            <w:r>
              <w:rPr>
                <w:rFonts w:ascii="AcadNusx" w:hAnsi="AcadNusx"/>
                <w:color w:val="000000"/>
                <w:sz w:val="24"/>
                <w:szCs w:val="24"/>
                <w:lang w:val="pt-BR"/>
              </w:rPr>
              <w:t xml:space="preserve"> da 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სხვა კორპორატიული აქტები</w:t>
            </w:r>
          </w:p>
        </w:tc>
      </w:tr>
      <w:tr w:rsidR="00A73DCB" w:rsidTr="00A73D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3DCB" w:rsidRDefault="00A73DCB">
            <w:pPr>
              <w:spacing w:line="256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73DCB" w:rsidRDefault="00A73DCB" w:rsidP="00A73DCB">
      <w:pPr>
        <w:rPr>
          <w:rFonts w:ascii="Sylfaen" w:hAnsi="Sylfaen"/>
          <w:b/>
          <w:sz w:val="24"/>
          <w:szCs w:val="24"/>
          <w:lang w:val="ka-GE"/>
        </w:rPr>
      </w:pPr>
    </w:p>
    <w:p w:rsidR="00A73DCB" w:rsidRDefault="00A73DCB" w:rsidP="00A73DC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color w:val="000000"/>
          <w:sz w:val="24"/>
          <w:szCs w:val="24"/>
          <w:lang w:val="it-IT"/>
        </w:rPr>
        <w:t>ხოპერ-დოზატორების ექსპლუატაცია, მოვლა, თანხლება;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pt-BR"/>
        </w:rPr>
        <w:t>ხოპერ</w:t>
      </w:r>
      <w:r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pt-BR"/>
        </w:rPr>
        <w:t xml:space="preserve"> დოზატორების სწორი დატვირთვა და დაცლა;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>განახორციელოს კონტროლი მის დაქვემდებარებაში მყოფი ხოპერ-დოზატორების ბრიგადებზე;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pt-BR"/>
        </w:rPr>
        <w:t>განახორციელოს პროფილაქტიკური სამუშაოები შემდგომი დაზიანებების პრევენციისათვის;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pt-BR"/>
        </w:rPr>
        <w:t>განახორციელოს სამუშაოები შრომის უსაფრთხოების წესების და ტექნოლოგიური პროცესის სრული დაცვით;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 xml:space="preserve">მოვალეა, </w:t>
      </w:r>
      <w:r>
        <w:rPr>
          <w:rFonts w:ascii="Sylfaen" w:hAnsi="Sylfaen"/>
          <w:sz w:val="24"/>
          <w:szCs w:val="24"/>
          <w:lang w:val="pt-BR"/>
        </w:rPr>
        <w:t>დაიცვას შრომითი დისციპლინა და შინაგანაწესი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 w:cs="Arial CYR"/>
          <w:color w:val="000000"/>
          <w:sz w:val="24"/>
          <w:szCs w:val="24"/>
          <w:lang w:val="ka-GE"/>
        </w:rPr>
        <w:t xml:space="preserve">მოვალეა, </w:t>
      </w:r>
      <w:r>
        <w:rPr>
          <w:rFonts w:ascii="Sylfaen" w:hAnsi="Sylfaen" w:cs="Arial CYR"/>
          <w:color w:val="000000"/>
          <w:sz w:val="24"/>
          <w:szCs w:val="24"/>
          <w:lang w:val="pt-BR"/>
        </w:rPr>
        <w:t>წარმოების ინტერესებიდან გამომდინარე</w:t>
      </w:r>
      <w:r>
        <w:rPr>
          <w:rFonts w:ascii="Sylfaen" w:hAnsi="Sylfaen" w:cs="Arial CYR"/>
          <w:color w:val="000000"/>
          <w:sz w:val="24"/>
          <w:szCs w:val="24"/>
          <w:lang w:val="ka-GE"/>
        </w:rPr>
        <w:t>,</w:t>
      </w:r>
      <w:r>
        <w:rPr>
          <w:rFonts w:ascii="Sylfaen" w:hAnsi="Sylfaen" w:cs="Arial CYR"/>
          <w:color w:val="000000"/>
          <w:sz w:val="24"/>
          <w:szCs w:val="24"/>
          <w:lang w:val="pt-BR"/>
        </w:rPr>
        <w:t xml:space="preserve"> გამონაკლის შემთხვევებში (ავარიების, ,,ფანჯრების" და სხვა ოპერატიულად შესასრულებელი სამუშაოების დროს)</w:t>
      </w:r>
      <w:r>
        <w:rPr>
          <w:rFonts w:ascii="Sylfaen" w:hAnsi="Sylfaen" w:cs="Arial CYR"/>
          <w:color w:val="000000"/>
          <w:sz w:val="24"/>
          <w:szCs w:val="24"/>
          <w:lang w:val="ka-GE"/>
        </w:rPr>
        <w:t>,</w:t>
      </w:r>
      <w:r>
        <w:rPr>
          <w:rFonts w:ascii="Sylfaen" w:hAnsi="Sylfaen" w:cs="Arial CYR"/>
          <w:color w:val="000000"/>
          <w:sz w:val="24"/>
          <w:szCs w:val="24"/>
          <w:lang w:val="pt-BR"/>
        </w:rPr>
        <w:t xml:space="preserve"> შეასრულოს ზემდგომი ხელმძღვანელის მიერ გაცემული სიტყვიერი ან წერილობითი ბრძანება, მითითება და დავალება, რომელიც უშუალოდ არ შედის მის ძირითად მოვალეობაში.</w:t>
      </w:r>
    </w:p>
    <w:p w:rsidR="00A73DCB" w:rsidRDefault="00A73DCB" w:rsidP="00A73DCB">
      <w:pPr>
        <w:rPr>
          <w:rFonts w:ascii="Sylfaen" w:hAnsi="Sylfaen"/>
          <w:sz w:val="24"/>
          <w:szCs w:val="24"/>
          <w:lang w:val="ka-GE"/>
        </w:rPr>
      </w:pPr>
    </w:p>
    <w:p w:rsidR="00A73DCB" w:rsidRDefault="00A73DCB" w:rsidP="00A73DCB">
      <w:pPr>
        <w:rPr>
          <w:rFonts w:ascii="Sylfaen" w:hAnsi="Sylfaen" w:cs="Sylfaen"/>
          <w:b/>
          <w:color w:val="000000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ცვლა (ღამის საათებით).  </w:t>
      </w:r>
    </w:p>
    <w:p w:rsidR="00A73DCB" w:rsidRDefault="00A73DCB" w:rsidP="00A73DCB">
      <w:pPr>
        <w:rPr>
          <w:sz w:val="24"/>
          <w:szCs w:val="24"/>
          <w:lang w:val="ka-GE"/>
        </w:rPr>
      </w:pPr>
    </w:p>
    <w:p w:rsidR="00A73DCB" w:rsidRDefault="00A73DCB" w:rsidP="00A73DCB">
      <w:pPr>
        <w:rPr>
          <w:sz w:val="24"/>
          <w:szCs w:val="24"/>
        </w:rPr>
      </w:pPr>
    </w:p>
    <w:p w:rsidR="00A73DCB" w:rsidRDefault="00A73DCB" w:rsidP="00A73DCB">
      <w:pPr>
        <w:ind w:left="7200"/>
        <w:rPr>
          <w:rFonts w:ascii="AcadNusx" w:hAnsi="AcadNusx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DCB" w:rsidRDefault="00A73DCB" w:rsidP="00A73DCB">
      <w:pPr>
        <w:tabs>
          <w:tab w:val="left" w:pos="2355"/>
        </w:tabs>
        <w:ind w:firstLine="720"/>
        <w:rPr>
          <w:rFonts w:ascii="AcadNusx" w:hAnsi="AcadNusx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  <w:t xml:space="preserve">    </w:t>
      </w:r>
    </w:p>
    <w:p w:rsidR="00A73DCB" w:rsidRDefault="00A73DCB" w:rsidP="00A73DC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გამოსატენ-მასწორებელ-საზუსტებელი სალიანდაგო</w:t>
      </w:r>
    </w:p>
    <w:p w:rsidR="00A73DCB" w:rsidRDefault="00A73DCB" w:rsidP="00A73DC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მანქანა  ვპრ-09-32 № 3225-ის მემანქანის</w:t>
      </w:r>
    </w:p>
    <w:p w:rsidR="00A73DCB" w:rsidRDefault="00A73DCB" w:rsidP="00A73DCB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73DCB" w:rsidRDefault="00A73DCB" w:rsidP="00A73DCB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A73DCB" w:rsidRDefault="00A73DCB" w:rsidP="00A73DCB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7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051"/>
      </w:tblGrid>
      <w:tr w:rsidR="00A73DCB" w:rsidTr="00A73D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73DCB" w:rsidRDefault="00A73DCB">
            <w:pPr>
              <w:spacing w:line="256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საშუალო</w:t>
            </w:r>
          </w:p>
        </w:tc>
      </w:tr>
      <w:tr w:rsidR="00A73DCB" w:rsidTr="00A73D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მინიმუმ 3 თვიანი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სტაჟირება მანქანა-მექანიზმებზე.</w:t>
            </w:r>
          </w:p>
        </w:tc>
      </w:tr>
      <w:tr w:rsidR="00A73DCB" w:rsidTr="00A73DCB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გადწყვეტილების დროულად მიღება, დაკვირვებულობა</w:t>
            </w:r>
          </w:p>
        </w:tc>
      </w:tr>
      <w:tr w:rsidR="00A73DCB" w:rsidTr="00A73D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მოვალეობის ფარგლებში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,</w:t>
            </w:r>
          </w:p>
          <w:p w:rsidR="00A73DCB" w:rsidRDefault="00A73DCB">
            <w:pPr>
              <w:spacing w:line="256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it-IT"/>
              </w:rPr>
              <w:t>ნორმატიული აქტები</w:t>
            </w:r>
          </w:p>
        </w:tc>
      </w:tr>
      <w:tr w:rsidR="00A73DCB" w:rsidTr="00A73DCB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3DCB" w:rsidRDefault="00A73DCB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3DCB" w:rsidRDefault="00A73DCB">
            <w:pPr>
              <w:spacing w:line="256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73DCB" w:rsidRDefault="00A73DCB" w:rsidP="00A73DCB">
      <w:pPr>
        <w:rPr>
          <w:rFonts w:ascii="Sylfaen" w:hAnsi="Sylfaen"/>
          <w:b/>
          <w:sz w:val="24"/>
          <w:szCs w:val="24"/>
          <w:lang w:val="ka-GE"/>
        </w:rPr>
      </w:pPr>
    </w:p>
    <w:p w:rsidR="00A73DCB" w:rsidRDefault="00A73DCB" w:rsidP="00A73DC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color w:val="000000"/>
          <w:sz w:val="24"/>
          <w:szCs w:val="24"/>
          <w:lang w:val="it-IT"/>
        </w:rPr>
        <w:t>მანქანის სისტემურად გამართული მუშაობა, მოვლა-შენახვა და ტექნიკური მომსახურება;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pt-BR"/>
        </w:rPr>
        <w:t>ცალკეულ კვანძებთან დამოუკიდებლად მუშაობა;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pt-BR"/>
        </w:rPr>
        <w:t>კვანძების სამართავი პულტების გამართული მუშაობის უზრუნველყოფა;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 xml:space="preserve">მოვალეა, </w:t>
      </w:r>
      <w:r>
        <w:rPr>
          <w:rFonts w:ascii="Sylfaen" w:hAnsi="Sylfaen"/>
          <w:sz w:val="24"/>
          <w:szCs w:val="24"/>
          <w:lang w:val="pt-BR"/>
        </w:rPr>
        <w:t>წარმოების ინტერესებიდან გამომდინარე</w:t>
      </w:r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pt-BR"/>
        </w:rPr>
        <w:t xml:space="preserve">  შეასრულოს ზემდგომი ხელმძღვანელების მიერ გაცემული სიტყვიერი ან წერილობითი ყველა ბრძანება, მითითება თუ დავალება (ავარიების ,ფანჯრებისა თუ სხვა ოპერატიულად შესასრულებელი სამუშაოების დროს);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 xml:space="preserve">მოვალეა, დაიცვას </w:t>
      </w:r>
      <w:r>
        <w:rPr>
          <w:rFonts w:ascii="Sylfaen" w:hAnsi="Sylfaen"/>
          <w:sz w:val="24"/>
          <w:szCs w:val="24"/>
          <w:lang w:val="pt-BR"/>
        </w:rPr>
        <w:t>შრომის დაცვისა, უსაფრთხოების ტექნიკის, ხანძარსაწინააღმდეგი, მოძრაობის უსაფრთხოების ტექნიკის წესები;</w:t>
      </w:r>
    </w:p>
    <w:p w:rsidR="00A73DCB" w:rsidRDefault="00A73DCB" w:rsidP="00A73DCB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 xml:space="preserve">მოვალეა, დაიცვას </w:t>
      </w:r>
      <w:r>
        <w:rPr>
          <w:rFonts w:ascii="Sylfaen" w:hAnsi="Sylfaen"/>
          <w:sz w:val="24"/>
          <w:szCs w:val="24"/>
          <w:lang w:val="pt-BR"/>
        </w:rPr>
        <w:t xml:space="preserve"> დისციპლინა და შინაგანაწესი.</w:t>
      </w:r>
    </w:p>
    <w:p w:rsidR="00A73DCB" w:rsidRDefault="00A73DCB" w:rsidP="00A73DCB">
      <w:pPr>
        <w:rPr>
          <w:rFonts w:ascii="Sylfaen" w:hAnsi="Sylfaen"/>
          <w:sz w:val="24"/>
          <w:szCs w:val="24"/>
          <w:lang w:val="ka-GE"/>
        </w:rPr>
      </w:pPr>
    </w:p>
    <w:p w:rsidR="00A73DCB" w:rsidRDefault="00A73DCB" w:rsidP="00A73DCB">
      <w:pPr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</w:t>
      </w:r>
    </w:p>
    <w:p w:rsidR="00783335" w:rsidRDefault="00783335">
      <w:bookmarkStart w:id="0" w:name="_GoBack"/>
      <w:bookmarkEnd w:id="0"/>
    </w:p>
    <w:sectPr w:rsidR="007833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D"/>
    <w:rsid w:val="004F6ADD"/>
    <w:rsid w:val="00783335"/>
    <w:rsid w:val="00A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1740D-2B98-4F1E-AA6C-CC2DFCA0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C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Railway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2019-12-23T07:58:00Z</dcterms:created>
  <dcterms:modified xsi:type="dcterms:W3CDTF">2019-12-23T07:58:00Z</dcterms:modified>
</cp:coreProperties>
</file>