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89" w:rsidRDefault="00765389" w:rsidP="0076538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მეაკუმულატორე</w:t>
      </w:r>
    </w:p>
    <w:p w:rsidR="00765389" w:rsidRDefault="00765389" w:rsidP="0076538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</w:p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8765"/>
      </w:tblGrid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ლოკომოტივზე დაყენებული სააკუმულატორო ბატარეების ნორმალური  მუშაობა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ლოკომოტივების სააკუმულატორო ბატარეების გეგმიური და არაგეგმიური შემოწმება, რემონტი და გამოცდა.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სააკუმულატორო ბატარეების დაშლა, ქილების გარეცხვა, ელექტროლიტის (მჟავას) ჩასხმა და დამუხტვა  ტექნოლოგიის დაცვით.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ლოკომოტივზე დაყენებული სააკუმულატორო ბატარეების ცალკეული ქილების პერიოდული შემოწმება ხსნარის სიმკვრივეზე.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</w:rPr>
              <w:t>სააკუმულატორო ბატარეის ქილებში ჩასასხმელი სითხის (ელექტროლიტის) მომზადება (შეზავება გამოხდილი წყლით სიმკვრივის შესაბამისად).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  <w:p w:rsidR="00765389" w:rsidRDefault="0076538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</w:p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935"/>
        <w:gridCol w:w="5831"/>
      </w:tblGrid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საშუალო განათლება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1 წელი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სიზუსტე</w:t>
            </w:r>
          </w:p>
        </w:tc>
      </w:tr>
      <w:tr w:rsidR="00765389" w:rsidTr="007653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სააკუმულატორო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ბატარეების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კონსტრუქცია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და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მოცულობა</w:t>
            </w:r>
            <w:r>
              <w:rPr>
                <w:rFonts w:ascii="Sylfaen" w:hAnsi="Sylfaen"/>
                <w:color w:val="000000"/>
                <w:lang w:val="pt-BR"/>
              </w:rPr>
              <w:t xml:space="preserve">. </w:t>
            </w:r>
            <w:r>
              <w:rPr>
                <w:rFonts w:ascii="Sylfaen" w:hAnsi="Sylfaen"/>
                <w:color w:val="000000"/>
              </w:rPr>
              <w:t>ელექტროგამზომი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მოწყობილობები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და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მათი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გამოყენების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წესები</w:t>
            </w:r>
            <w:r>
              <w:rPr>
                <w:rFonts w:ascii="Sylfaen" w:hAnsi="Sylfaen"/>
                <w:color w:val="000000"/>
                <w:lang w:val="pt-BR"/>
              </w:rPr>
              <w:t xml:space="preserve">. </w:t>
            </w:r>
            <w:r>
              <w:rPr>
                <w:rFonts w:ascii="Sylfaen" w:hAnsi="Sylfaen"/>
                <w:color w:val="000000"/>
              </w:rPr>
              <w:t>დამტენი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მოწყობილობების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და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სააკუმულატორო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ბატარეების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მუშაობის</w:t>
            </w:r>
            <w:r>
              <w:rPr>
                <w:rFonts w:ascii="Sylfaen" w:hAnsi="Sylfaen"/>
                <w:color w:val="000000"/>
                <w:lang w:val="pt-BR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პრინციპი</w:t>
            </w:r>
            <w:r>
              <w:rPr>
                <w:rFonts w:ascii="Sylfaen" w:hAnsi="Sylfaen"/>
                <w:color w:val="000000"/>
                <w:lang w:val="pt-BR"/>
              </w:rPr>
              <w:t xml:space="preserve">. </w:t>
            </w:r>
            <w:r>
              <w:rPr>
                <w:rFonts w:ascii="Sylfaen" w:hAnsi="Sylfaen"/>
                <w:color w:val="000000"/>
              </w:rPr>
              <w:t>სააკუმულატო</w:t>
            </w:r>
            <w:r>
              <w:rPr>
                <w:rFonts w:ascii="Sylfaen" w:hAnsi="Sylfaen"/>
                <w:color w:val="000000"/>
                <w:lang w:val="pt-BR"/>
              </w:rPr>
              <w:t xml:space="preserve"> ბატარეის ქილების სიმკვრივე სეზონების მიხედვით. </w:t>
            </w:r>
            <w:r>
              <w:rPr>
                <w:rFonts w:ascii="Sylfaen" w:hAnsi="Sylfaen"/>
                <w:color w:val="000000"/>
              </w:rPr>
              <w:t>თითოეული ქილის ტევადობა. შრომის დაცვის და უსაფრთხოების წესები. შრომის შინაგანაწესი.</w:t>
            </w:r>
          </w:p>
        </w:tc>
      </w:tr>
    </w:tbl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>;</w:t>
      </w:r>
    </w:p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765389" w:rsidRDefault="00765389" w:rsidP="0076538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საწყობის გამგე</w:t>
      </w:r>
    </w:p>
    <w:p w:rsidR="00765389" w:rsidRDefault="00765389" w:rsidP="0076538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</w:p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სასაქონლო-მატერიალური ფასეულობების მიღება, აღრიცხვა, შენახვა და გაცემა. </w:t>
            </w:r>
          </w:p>
        </w:tc>
      </w:tr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დასაწყობებული მატერიალური ფასეულობების შენახვის წესების დაცვა, მისაღებ-გასაცემი დოკუმენტაციის გაფორმება </w:t>
            </w:r>
          </w:p>
        </w:tc>
      </w:tr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მონაწილეობა სასაქონლო-მატერიალური ფასეულობების ინვენტარიზაციის პროცესში,</w:t>
            </w:r>
          </w:p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სასაწყობო ოპერაციების აღრიცხვიანობის კონტროლი </w:t>
            </w:r>
          </w:p>
        </w:tc>
      </w:tr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დატვირთვა-გადმოტვირთვის სამუშაოების ხელმძღვანელობა, პირადი უსაფრთხოების ტექნიკის, საწარმოო სანიტარიის და სახანძრო წესების დაცვა. </w:t>
            </w:r>
          </w:p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საწყობიდან სათადარიგო ნაწილების და მასალების გატანის პროცესზე დასწრება. </w:t>
            </w:r>
          </w:p>
        </w:tc>
      </w:tr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ნარჩენი მარაგი ნაწილების ანალიზი, და საჭიროების შემთხვევაში სალოკომოტივო დეპოს ხელმძღვანელობისათვის ანალიზის შედეგების წარდგენა. </w:t>
            </w:r>
          </w:p>
        </w:tc>
      </w:tr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ევალება 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 </w:t>
            </w:r>
          </w:p>
        </w:tc>
      </w:tr>
      <w:tr w:rsidR="00765389" w:rsidTr="00765389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მოვალეა დაიცვას შრომის შინაგანაწესი და დისციპლინა. </w:t>
            </w:r>
          </w:p>
        </w:tc>
      </w:tr>
    </w:tbl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</w:p>
    <w:p w:rsidR="00765389" w:rsidRDefault="00765389" w:rsidP="00765389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1"/>
        <w:gridCol w:w="6451"/>
      </w:tblGrid>
      <w:tr w:rsidR="00765389" w:rsidTr="00765389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spacing w:after="100" w:afterAutospacing="1"/>
            </w:pP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</w:rPr>
              <w:t>საშუალო</w:t>
            </w:r>
            <w:r>
              <w:t xml:space="preserve"> </w:t>
            </w:r>
          </w:p>
        </w:tc>
      </w:tr>
      <w:tr w:rsidR="00765389" w:rsidTr="007653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წელი </w:t>
            </w:r>
          </w:p>
        </w:tc>
      </w:tr>
      <w:tr w:rsidR="00765389" w:rsidTr="007653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765389" w:rsidRDefault="00765389">
            <w:pPr>
              <w:spacing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89" w:rsidRDefault="00765389">
            <w:pPr>
              <w:pStyle w:val="Default"/>
              <w:spacing w:after="100" w:afterAutospacing="1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დაკვირვებულობა, კომუნიკაბელურობა, პასუხისმგებლობა </w:t>
            </w:r>
          </w:p>
          <w:p w:rsidR="00765389" w:rsidRDefault="00765389">
            <w:pPr>
              <w:spacing w:after="100" w:afterAutospacing="1"/>
              <w:rPr>
                <w:rFonts w:ascii="Acad Nusx Geo" w:hAnsi="Acad Nusx Geo" w:cs="Arial CYR"/>
                <w:color w:val="000000"/>
                <w:lang w:val="ka-GE"/>
              </w:rPr>
            </w:pPr>
          </w:p>
        </w:tc>
      </w:tr>
      <w:tr w:rsidR="00765389" w:rsidTr="0076538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389" w:rsidRDefault="00765389">
            <w:pPr>
              <w:pStyle w:val="Default"/>
              <w:spacing w:after="100" w:afterAutospacing="1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სასაქონლო-მატერიალური ფასეულობების შენახვის ტექნიკური პირობები, შენახვის წესები, აღრიცხვის ინსტრუქციები და სტანდარტები, მათი სახეობები, ზომები, მარკები, ხარისხობრივი მაჩვენებლები და მათი ხარჯვის </w:t>
            </w:r>
            <w:r>
              <w:rPr>
                <w:sz w:val="22"/>
                <w:szCs w:val="22"/>
              </w:rPr>
              <w:lastRenderedPageBreak/>
              <w:t xml:space="preserve">ნორმები. დატვირთვა-გადმოტვირთვის სამუშაოების ორგანიზაცია. შრომის დაცვის, უსაფრთხოების ტექნიკის, საწარმოო სანიტარიის და სახანძრო დაცვის წესები და ნორმები. შრომის შინაგანაწესი. </w:t>
            </w:r>
          </w:p>
        </w:tc>
      </w:tr>
      <w:tr w:rsidR="00765389" w:rsidTr="00765389">
        <w:trPr>
          <w:trHeight w:val="3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89" w:rsidRDefault="00765389">
            <w:pPr>
              <w:spacing w:after="100" w:afterAutospacing="1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89" w:rsidRDefault="00765389">
            <w:pPr>
              <w:spacing w:after="100" w:afterAutospacing="1"/>
              <w:rPr>
                <w:color w:val="000000"/>
                <w:lang w:val="ka-GE"/>
              </w:rPr>
            </w:pPr>
          </w:p>
        </w:tc>
      </w:tr>
    </w:tbl>
    <w:p w:rsidR="00765389" w:rsidRDefault="00765389" w:rsidP="00765389">
      <w:pPr>
        <w:rPr>
          <w:rFonts w:ascii="Sylfaen" w:hAnsi="Sylfaen"/>
          <w:b/>
          <w:sz w:val="24"/>
          <w:szCs w:val="24"/>
          <w:lang w:val="ka-GE"/>
        </w:rPr>
      </w:pPr>
    </w:p>
    <w:p w:rsidR="00765389" w:rsidRDefault="00765389" w:rsidP="00765389">
      <w:pPr>
        <w:rPr>
          <w:rFonts w:ascii="Sylfaen" w:hAnsi="Sylfaen"/>
          <w:lang w:val="ka-GE"/>
        </w:rPr>
      </w:pPr>
    </w:p>
    <w:p w:rsidR="00765389" w:rsidRDefault="00765389" w:rsidP="0076538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ყოველდღიური</w:t>
      </w:r>
      <w:r>
        <w:rPr>
          <w:rFonts w:ascii="Sylfaen" w:hAnsi="Sylfaen"/>
          <w:sz w:val="24"/>
          <w:szCs w:val="24"/>
        </w:rPr>
        <w:t>;</w:t>
      </w:r>
    </w:p>
    <w:p w:rsidR="003A6F36" w:rsidRDefault="003A6F36">
      <w:bookmarkStart w:id="0" w:name="_GoBack"/>
      <w:bookmarkEnd w:id="0"/>
    </w:p>
    <w:sectPr w:rsidR="003A6F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9"/>
    <w:rsid w:val="003A6F36"/>
    <w:rsid w:val="00765389"/>
    <w:rsid w:val="00E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20E65-CACF-4D55-A34A-27B7F68B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8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38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Railway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2022-05-04T06:22:00Z</dcterms:created>
  <dcterms:modified xsi:type="dcterms:W3CDTF">2022-05-04T06:22:00Z</dcterms:modified>
</cp:coreProperties>
</file>