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99" w:rsidRDefault="00661499" w:rsidP="0066149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მოძრავი შემადგენლობის რემონტის ზეინკალი </w:t>
      </w:r>
    </w:p>
    <w:p w:rsidR="00661499" w:rsidRDefault="00661499" w:rsidP="0066149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661499" w:rsidRDefault="00661499" w:rsidP="00661499">
      <w:pPr>
        <w:rPr>
          <w:rFonts w:ascii="Sylfaen" w:hAnsi="Sylfaen"/>
          <w:b/>
          <w:sz w:val="24"/>
          <w:szCs w:val="24"/>
          <w:lang w:val="ka-GE"/>
        </w:rPr>
      </w:pPr>
    </w:p>
    <w:p w:rsidR="00661499" w:rsidRDefault="00661499" w:rsidP="0066149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 xml:space="preserve">ფუნქცია მოვალეობები: </w:t>
      </w:r>
      <w:r>
        <w:rPr>
          <w:rFonts w:ascii="Sylfaen" w:hAnsi="Sylfaen"/>
          <w:b/>
          <w:lang w:val="ka-GE"/>
        </w:rPr>
        <w:t>პერიოდული რემონტის საამქრო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020"/>
      </w:tblGrid>
      <w:tr w:rsidR="00661499" w:rsidTr="00661499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99" w:rsidRDefault="0066149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დაზიანებების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გამოვლენა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რემონტი</w:t>
            </w:r>
            <w:r>
              <w:rPr>
                <w:rFonts w:ascii="Sylfaen" w:hAnsi="Sylfaen"/>
                <w:color w:val="000000"/>
              </w:rPr>
              <w:t>.</w:t>
            </w:r>
          </w:p>
        </w:tc>
      </w:tr>
      <w:tr w:rsidR="00661499" w:rsidTr="00661499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99" w:rsidRDefault="0066149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სამუხრუჭო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სისტემის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რესორული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აკვანისებური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ჩამოკიდების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რემონტი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აწყობა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661499" w:rsidTr="00661499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99" w:rsidRDefault="0066149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პნევმატიკური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სისტემის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გამოცდა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სამუხრუჭე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ცილინდრების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რევიზია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661499" w:rsidTr="00661499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99" w:rsidRDefault="0066149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ურიკების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გამოგორება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დაშლა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აწყობა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შეგორება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661499" w:rsidTr="00661499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99" w:rsidRDefault="0066149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წევის</w:t>
            </w:r>
            <w:r>
              <w:rPr>
                <w:rFonts w:ascii="Calibri" w:hAnsi="Calibri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დამხმარე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ელექტრული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ძრავების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დაღარვა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661499" w:rsidTr="00661499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99" w:rsidRDefault="0066149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მასრების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შემკუმშავი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კამერის</w:t>
            </w:r>
            <w:r>
              <w:rPr>
                <w:rFonts w:ascii="Calibri" w:hAnsi="Calibri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გასინჯვა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ღრეჩოების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რეგულირება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კომპრესორის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სარქველების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მიხეხვა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661499" w:rsidTr="00661499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99" w:rsidRDefault="0066149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სამუხრუჭო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ბერკეტული</w:t>
            </w:r>
            <w:r>
              <w:rPr>
                <w:rFonts w:ascii="Calibri" w:hAnsi="Calibri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გადაცემის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რეგულირება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სამუხრუჭო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ხელსაწყოების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საჰაერო</w:t>
            </w:r>
            <w:r>
              <w:rPr>
                <w:rFonts w:ascii="Calibri" w:hAnsi="Calibri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მაგისტრალის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რევიზია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661499" w:rsidTr="00661499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99" w:rsidRDefault="0066149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სამონტაჟო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სქემების</w:t>
            </w:r>
            <w:r>
              <w:rPr>
                <w:rFonts w:ascii="Calibri" w:hAnsi="Calibri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აღდგენა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Arial CYR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ხაზური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ხიდური</w:t>
            </w:r>
            <w:r>
              <w:rPr>
                <w:rFonts w:ascii="Calibri" w:hAnsi="Calibri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კონტაქტორების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დაყენება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ელექტრული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მანქანების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მუსების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მიხეხვა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რეგულირება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661499" w:rsidTr="00661499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99" w:rsidRDefault="0066149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  <w:tr w:rsidR="00661499" w:rsidTr="00661499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99" w:rsidRDefault="0066149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</w:tc>
      </w:tr>
    </w:tbl>
    <w:p w:rsidR="00661499" w:rsidRDefault="00661499" w:rsidP="00661499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670"/>
        <w:gridCol w:w="6451"/>
      </w:tblGrid>
      <w:tr w:rsidR="00661499" w:rsidTr="00661499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99" w:rsidRDefault="00661499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საშუალო</w:t>
            </w:r>
          </w:p>
        </w:tc>
      </w:tr>
      <w:tr w:rsidR="00661499" w:rsidTr="00661499">
        <w:trPr>
          <w:trHeight w:val="3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99" w:rsidRDefault="00661499">
            <w:pPr>
              <w:spacing w:after="0"/>
              <w:rPr>
                <w:rFonts w:ascii="Sylfaen" w:hAnsi="Sylfaen" w:cs="Arial CYR"/>
                <w:color w:val="000000"/>
                <w:lang w:val="ka-GE"/>
              </w:rPr>
            </w:pPr>
          </w:p>
        </w:tc>
      </w:tr>
      <w:tr w:rsidR="00661499" w:rsidTr="006614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661499" w:rsidRDefault="0066149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99" w:rsidRDefault="00661499">
            <w:pPr>
              <w:spacing w:after="0"/>
              <w:rPr>
                <w:rFonts w:ascii="Acad Nusx Geo" w:hAnsi="Acad Nusx Geo" w:cs="Arial CYR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სისწრაფე</w:t>
            </w:r>
            <w:r>
              <w:rPr>
                <w:rFonts w:ascii="Sylfaen" w:hAnsi="Sylfaen" w:cs="Acad Nusx Geo"/>
                <w:color w:val="000000"/>
              </w:rPr>
              <w:t>,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დაკვირვების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ათვისების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უნარი</w:t>
            </w:r>
          </w:p>
        </w:tc>
      </w:tr>
      <w:tr w:rsidR="00661499" w:rsidTr="006614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99" w:rsidRDefault="0066149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  <w:p w:rsidR="00661499" w:rsidRDefault="00661499">
            <w:pPr>
              <w:spacing w:after="0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99" w:rsidRDefault="00661499">
            <w:pPr>
              <w:spacing w:after="0"/>
              <w:rPr>
                <w:rFonts w:ascii="Acad Nusx Geo" w:hAnsi="Acad Nusx Geo" w:cs="Arial CYR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ლოკომოტივის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სარემონტო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ობიექტების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დანიშნულება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კონსტრუქცია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ურთიერთმოქმედება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მათი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დაშლა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აწყობის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პროცესი</w:t>
            </w:r>
            <w:r>
              <w:rPr>
                <w:rFonts w:ascii="Sylfaen" w:hAnsi="Sylfaen" w:cs="Acad Nusx Geo"/>
                <w:color w:val="000000"/>
              </w:rPr>
              <w:t xml:space="preserve">; </w:t>
            </w:r>
            <w:r>
              <w:rPr>
                <w:rFonts w:ascii="Sylfaen" w:hAnsi="Sylfaen" w:cs="Sylfaen"/>
                <w:color w:val="000000"/>
              </w:rPr>
              <w:t>სპეციალური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საკონტროლო</w:t>
            </w:r>
            <w:r>
              <w:rPr>
                <w:rFonts w:ascii="Sylfaen" w:hAnsi="Sylfaen" w:cs="Acad Nusx Geo"/>
                <w:color w:val="000000"/>
              </w:rPr>
              <w:t xml:space="preserve">- </w:t>
            </w:r>
            <w:r>
              <w:rPr>
                <w:rFonts w:ascii="Sylfaen" w:hAnsi="Sylfaen" w:cs="Sylfaen"/>
                <w:color w:val="000000"/>
              </w:rPr>
              <w:t>საზომი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ხელსაწყოების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დანიშნულება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მათი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გამოყენების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წესი</w:t>
            </w:r>
            <w:r>
              <w:rPr>
                <w:rFonts w:ascii="Sylfaen" w:hAnsi="Sylfaen" w:cs="Acad Nusx Geo"/>
                <w:color w:val="000000"/>
              </w:rPr>
              <w:t>;</w:t>
            </w:r>
            <w:r>
              <w:rPr>
                <w:rFonts w:ascii="Sylfaen" w:hAnsi="Sylfaen" w:cs="Arial CYR"/>
                <w:color w:val="000000"/>
              </w:rPr>
              <w:t xml:space="preserve">  </w:t>
            </w:r>
          </w:p>
        </w:tc>
      </w:tr>
      <w:tr w:rsidR="00661499" w:rsidTr="006614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99" w:rsidRDefault="0066149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499" w:rsidRDefault="00661499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661499" w:rsidRDefault="00661499" w:rsidP="00661499">
      <w:pPr>
        <w:spacing w:after="120"/>
        <w:rPr>
          <w:rFonts w:ascii="Sylfaen" w:hAnsi="Sylfaen"/>
          <w:b/>
          <w:sz w:val="24"/>
          <w:szCs w:val="24"/>
          <w:lang w:val="ka-GE"/>
        </w:rPr>
      </w:pPr>
    </w:p>
    <w:p w:rsidR="00661499" w:rsidRDefault="00661499" w:rsidP="00661499">
      <w:pPr>
        <w:rPr>
          <w:rFonts w:ascii="Sylfaen" w:hAnsi="Sylfaen"/>
          <w:lang w:val="ka-GE"/>
        </w:rPr>
      </w:pPr>
    </w:p>
    <w:p w:rsidR="00661499" w:rsidRDefault="00661499" w:rsidP="0066149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>სამუშაო რეჟიმი: ცვლიანი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61499" w:rsidRDefault="00661499" w:rsidP="00661499">
      <w:pPr>
        <w:rPr>
          <w:rFonts w:ascii="Sylfaen" w:hAnsi="Sylfaen"/>
          <w:lang w:val="ka-GE"/>
        </w:rPr>
      </w:pPr>
      <w:bookmarkStart w:id="0" w:name="_GoBack"/>
      <w:bookmarkEnd w:id="0"/>
    </w:p>
    <w:sectPr w:rsidR="0066149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 Nusx Geo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9F"/>
    <w:rsid w:val="00661499"/>
    <w:rsid w:val="00A15F9F"/>
    <w:rsid w:val="00A9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3B144-4EFF-459A-82C7-75812CD6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9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Railway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2022-09-13T06:48:00Z</dcterms:created>
  <dcterms:modified xsi:type="dcterms:W3CDTF">2022-09-13T06:48:00Z</dcterms:modified>
</cp:coreProperties>
</file>